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093B" w14:textId="1C5BC209" w:rsidR="006152D8" w:rsidRDefault="00825028" w:rsidP="00825028">
      <w:pPr>
        <w:jc w:val="center"/>
        <w:rPr>
          <w:rFonts w:ascii="Times New Roman" w:hAnsi="Times New Roman" w:cs="Times New Roman"/>
          <w:b/>
          <w:bCs/>
          <w:sz w:val="28"/>
          <w:szCs w:val="28"/>
        </w:rPr>
      </w:pPr>
      <w:r>
        <w:rPr>
          <w:rFonts w:ascii="Times New Roman" w:hAnsi="Times New Roman" w:cs="Times New Roman"/>
          <w:b/>
          <w:bCs/>
          <w:sz w:val="28"/>
          <w:szCs w:val="28"/>
        </w:rPr>
        <w:t>SAMPLE TOE</w:t>
      </w:r>
      <w:r w:rsidR="007A6A6C">
        <w:rPr>
          <w:rFonts w:ascii="Times New Roman" w:hAnsi="Times New Roman" w:cs="Times New Roman"/>
          <w:b/>
          <w:bCs/>
          <w:sz w:val="28"/>
          <w:szCs w:val="28"/>
        </w:rPr>
        <w:t>: Preoperative Fasting</w:t>
      </w:r>
    </w:p>
    <w:p w14:paraId="2D0F01E0" w14:textId="22F04FF1" w:rsidR="008338E8" w:rsidRPr="008338E8" w:rsidRDefault="008338E8" w:rsidP="008338E8">
      <w:pPr>
        <w:rPr>
          <w:rFonts w:ascii="Times New Roman" w:hAnsi="Times New Roman" w:cs="Times New Roman"/>
          <w:b/>
          <w:bCs/>
          <w:sz w:val="28"/>
          <w:szCs w:val="28"/>
        </w:rPr>
      </w:pPr>
      <w:r w:rsidRPr="008338E8">
        <w:rPr>
          <w:rFonts w:ascii="Times New Roman" w:hAnsi="Times New Roman" w:cs="Times New Roman"/>
          <w:b/>
          <w:bCs/>
          <w:sz w:val="28"/>
          <w:szCs w:val="28"/>
        </w:rPr>
        <w:t xml:space="preserve">Focused Clinical Question: </w:t>
      </w:r>
      <w:r w:rsidRPr="008338E8">
        <w:rPr>
          <w:rFonts w:ascii="Times New Roman" w:hAnsi="Times New Roman" w:cs="Times New Roman"/>
          <w:sz w:val="24"/>
          <w:szCs w:val="24"/>
        </w:rPr>
        <w:t>I</w:t>
      </w:r>
      <w:r w:rsidRPr="008338E8">
        <w:rPr>
          <w:rFonts w:ascii="Times New Roman" w:hAnsi="Times New Roman" w:cs="Times New Roman"/>
          <w:color w:val="222222"/>
          <w:sz w:val="24"/>
          <w:szCs w:val="24"/>
          <w:shd w:val="clear" w:color="auto" w:fill="FFFFFF"/>
        </w:rPr>
        <w:t>n</w:t>
      </w:r>
      <w:r w:rsidRPr="008338E8">
        <w:rPr>
          <w:rFonts w:ascii="Times New Roman" w:hAnsi="Times New Roman" w:cs="Times New Roman"/>
          <w:color w:val="222222"/>
          <w:shd w:val="clear" w:color="auto" w:fill="FFFFFF"/>
        </w:rPr>
        <w:t xml:space="preserve"> a population of "healthy" preoperative patients, what are the effects of drinking liquids, particularly carbohydrate infused liquids, up to two hours prior to surgery vs. standard practice (fasting after midnight the day of surgery/procedures) on patient comfort/satisfaction, intraoperative aspiration, and postoperative complications. </w:t>
      </w:r>
    </w:p>
    <w:p w14:paraId="442340A8" w14:textId="77777777" w:rsidR="003C4E48" w:rsidRDefault="003C4E48" w:rsidP="00825028">
      <w:pPr>
        <w:jc w:val="center"/>
        <w:rPr>
          <w:rFonts w:ascii="Times New Roman" w:hAnsi="Times New Roman" w:cs="Times New Roman"/>
          <w:b/>
          <w:bCs/>
          <w:sz w:val="28"/>
          <w:szCs w:val="28"/>
        </w:rPr>
      </w:pPr>
    </w:p>
    <w:tbl>
      <w:tblPr>
        <w:tblStyle w:val="GridTable1Light-Accent5"/>
        <w:tblW w:w="0" w:type="auto"/>
        <w:tblLook w:val="04A0" w:firstRow="1" w:lastRow="0" w:firstColumn="1" w:lastColumn="0" w:noHBand="0" w:noVBand="1"/>
      </w:tblPr>
      <w:tblGrid>
        <w:gridCol w:w="1435"/>
        <w:gridCol w:w="1389"/>
        <w:gridCol w:w="1438"/>
        <w:gridCol w:w="1950"/>
        <w:gridCol w:w="1933"/>
        <w:gridCol w:w="2923"/>
        <w:gridCol w:w="1882"/>
      </w:tblGrid>
      <w:tr w:rsidR="00243FA7" w14:paraId="0BF9B8EA" w14:textId="77777777" w:rsidTr="00EB5FB5">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467" w:type="dxa"/>
          </w:tcPr>
          <w:p w14:paraId="0E00183B" w14:textId="66DA3ED2" w:rsidR="003C4E48" w:rsidRPr="00825028" w:rsidRDefault="003C4E48" w:rsidP="00825028">
            <w:pPr>
              <w:jc w:val="center"/>
              <w:rPr>
                <w:rFonts w:ascii="Times New Roman" w:hAnsi="Times New Roman" w:cs="Times New Roman"/>
                <w:sz w:val="24"/>
                <w:szCs w:val="24"/>
              </w:rPr>
            </w:pPr>
            <w:r>
              <w:rPr>
                <w:rFonts w:ascii="Times New Roman" w:hAnsi="Times New Roman" w:cs="Times New Roman"/>
                <w:sz w:val="24"/>
                <w:szCs w:val="24"/>
              </w:rPr>
              <w:t>Evidence Source</w:t>
            </w:r>
            <w:r w:rsidR="008338E8">
              <w:rPr>
                <w:rFonts w:ascii="Times New Roman" w:hAnsi="Times New Roman" w:cs="Times New Roman"/>
                <w:sz w:val="24"/>
                <w:szCs w:val="24"/>
              </w:rPr>
              <w:t>*</w:t>
            </w:r>
          </w:p>
        </w:tc>
        <w:tc>
          <w:tcPr>
            <w:tcW w:w="1270" w:type="dxa"/>
          </w:tcPr>
          <w:p w14:paraId="34AE5AE3" w14:textId="6CBA1C07" w:rsidR="003C4E48" w:rsidRPr="00825028" w:rsidRDefault="003C4E48" w:rsidP="00825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Type of Evidence</w:t>
            </w:r>
          </w:p>
        </w:tc>
        <w:tc>
          <w:tcPr>
            <w:tcW w:w="1443" w:type="dxa"/>
          </w:tcPr>
          <w:p w14:paraId="1FE18CEF" w14:textId="5DA8EF18" w:rsidR="003C4E48" w:rsidRPr="00825028" w:rsidRDefault="003C4E48" w:rsidP="00825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Level of Evidence*</w:t>
            </w:r>
            <w:r w:rsidR="008338E8">
              <w:rPr>
                <w:rFonts w:ascii="Times New Roman" w:hAnsi="Times New Roman" w:cs="Times New Roman"/>
                <w:sz w:val="24"/>
                <w:szCs w:val="24"/>
              </w:rPr>
              <w:t>*</w:t>
            </w:r>
          </w:p>
        </w:tc>
        <w:tc>
          <w:tcPr>
            <w:tcW w:w="1950" w:type="dxa"/>
          </w:tcPr>
          <w:p w14:paraId="2AE877D4" w14:textId="60ADBB22" w:rsidR="003C4E48" w:rsidRPr="00825028" w:rsidRDefault="003C4E48" w:rsidP="00825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Quality</w:t>
            </w:r>
            <w:r w:rsidR="007A6A6C">
              <w:rPr>
                <w:rFonts w:ascii="Times New Roman" w:hAnsi="Times New Roman" w:cs="Times New Roman"/>
                <w:sz w:val="24"/>
                <w:szCs w:val="24"/>
              </w:rPr>
              <w:t>/Strength</w:t>
            </w:r>
            <w:r>
              <w:rPr>
                <w:rFonts w:ascii="Times New Roman" w:hAnsi="Times New Roman" w:cs="Times New Roman"/>
                <w:sz w:val="24"/>
                <w:szCs w:val="24"/>
              </w:rPr>
              <w:t xml:space="preserve"> of Evidence</w:t>
            </w:r>
          </w:p>
        </w:tc>
        <w:tc>
          <w:tcPr>
            <w:tcW w:w="1975" w:type="dxa"/>
          </w:tcPr>
          <w:p w14:paraId="3349D30A" w14:textId="34C4380B" w:rsidR="003C4E48" w:rsidRPr="00825028" w:rsidRDefault="003C4E48" w:rsidP="00825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Methods***</w:t>
            </w:r>
          </w:p>
        </w:tc>
        <w:tc>
          <w:tcPr>
            <w:tcW w:w="2923" w:type="dxa"/>
          </w:tcPr>
          <w:p w14:paraId="3231E400" w14:textId="6348DF5A" w:rsidR="003C4E48" w:rsidRPr="003C4E48" w:rsidRDefault="003C4E48" w:rsidP="00825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Results/Recommendations</w:t>
            </w:r>
          </w:p>
        </w:tc>
        <w:tc>
          <w:tcPr>
            <w:tcW w:w="1922" w:type="dxa"/>
          </w:tcPr>
          <w:p w14:paraId="3F04A4C6" w14:textId="15B5475D" w:rsidR="003C4E48" w:rsidRPr="003C4E48" w:rsidRDefault="003C4E48" w:rsidP="00825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Comments</w:t>
            </w:r>
          </w:p>
        </w:tc>
      </w:tr>
      <w:tr w:rsidR="00243FA7" w14:paraId="4DF8A8E8" w14:textId="77777777" w:rsidTr="00EB5FB5">
        <w:trPr>
          <w:trHeight w:val="438"/>
        </w:trPr>
        <w:tc>
          <w:tcPr>
            <w:cnfStyle w:val="001000000000" w:firstRow="0" w:lastRow="0" w:firstColumn="1" w:lastColumn="0" w:oddVBand="0" w:evenVBand="0" w:oddHBand="0" w:evenHBand="0" w:firstRowFirstColumn="0" w:firstRowLastColumn="0" w:lastRowFirstColumn="0" w:lastRowLastColumn="0"/>
            <w:tcW w:w="1467" w:type="dxa"/>
          </w:tcPr>
          <w:p w14:paraId="0637B045" w14:textId="609C77F4" w:rsidR="003C4E48" w:rsidRPr="00315197" w:rsidRDefault="00315197" w:rsidP="00825028">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Joshi et al. (2023)</w:t>
            </w:r>
          </w:p>
        </w:tc>
        <w:tc>
          <w:tcPr>
            <w:tcW w:w="1270" w:type="dxa"/>
          </w:tcPr>
          <w:p w14:paraId="2171F094" w14:textId="7347FE70" w:rsidR="003C4E48" w:rsidRPr="00315197" w:rsidRDefault="00315197"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Clinical Guideline</w:t>
            </w:r>
          </w:p>
        </w:tc>
        <w:tc>
          <w:tcPr>
            <w:tcW w:w="1443" w:type="dxa"/>
          </w:tcPr>
          <w:p w14:paraId="2B27295F" w14:textId="715CC86E" w:rsidR="003C4E48" w:rsidRPr="007A6A6C" w:rsidRDefault="007A6A6C"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950" w:type="dxa"/>
          </w:tcPr>
          <w:p w14:paraId="186ADF8E" w14:textId="4C799310" w:rsidR="003C4E48" w:rsidRPr="007A6A6C" w:rsidRDefault="007A6A6C"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Moderate (GRADE)</w:t>
            </w:r>
          </w:p>
        </w:tc>
        <w:tc>
          <w:tcPr>
            <w:tcW w:w="1975" w:type="dxa"/>
          </w:tcPr>
          <w:p w14:paraId="752F5982" w14:textId="4546FF30" w:rsidR="003C4E48" w:rsidRDefault="00AB0338"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Review of relevant randomized controlled trials comparing carbohydrate-containing clear liquids vs. fasting and carbohydrate containing clear liquids vs. noncaloric clear liquids.</w:t>
            </w:r>
          </w:p>
          <w:p w14:paraId="570F0D59" w14:textId="289F03E3" w:rsidR="00AB0338" w:rsidRPr="00AB0338" w:rsidRDefault="00AB0338"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23" w:type="dxa"/>
          </w:tcPr>
          <w:p w14:paraId="777FE319" w14:textId="5EBF1586" w:rsidR="003C4E48" w:rsidRPr="00AB0338" w:rsidRDefault="00AB0338"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There is moderate evidence to support the ASA recommendation (strong) for adults to drink clear, carbohydrate containing liquids up to 2 hours prior to surgery.</w:t>
            </w:r>
          </w:p>
        </w:tc>
        <w:tc>
          <w:tcPr>
            <w:tcW w:w="1922" w:type="dxa"/>
          </w:tcPr>
          <w:p w14:paraId="00383923" w14:textId="77777777" w:rsidR="003C4E48" w:rsidRDefault="003C4E48"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243FA7" w14:paraId="2B914D94" w14:textId="77777777" w:rsidTr="00EB5FB5">
        <w:tc>
          <w:tcPr>
            <w:cnfStyle w:val="001000000000" w:firstRow="0" w:lastRow="0" w:firstColumn="1" w:lastColumn="0" w:oddVBand="0" w:evenVBand="0" w:oddHBand="0" w:evenHBand="0" w:firstRowFirstColumn="0" w:firstRowLastColumn="0" w:lastRowFirstColumn="0" w:lastRowLastColumn="0"/>
            <w:tcW w:w="1467" w:type="dxa"/>
          </w:tcPr>
          <w:p w14:paraId="5774B2FF" w14:textId="1EEFB0E3" w:rsidR="003C4E48" w:rsidRPr="006D791E" w:rsidRDefault="006D791E" w:rsidP="00825028">
            <w:pPr>
              <w:jc w:val="center"/>
              <w:rPr>
                <w:rFonts w:ascii="Times New Roman" w:hAnsi="Times New Roman" w:cs="Times New Roman"/>
                <w:b w:val="0"/>
                <w:bCs w:val="0"/>
                <w:sz w:val="24"/>
                <w:szCs w:val="24"/>
              </w:rPr>
            </w:pPr>
            <w:r w:rsidRPr="006D791E">
              <w:rPr>
                <w:rFonts w:ascii="Times New Roman" w:hAnsi="Times New Roman" w:cs="Times New Roman"/>
                <w:b w:val="0"/>
                <w:bCs w:val="0"/>
                <w:sz w:val="24"/>
                <w:szCs w:val="24"/>
              </w:rPr>
              <w:t>Brady et al. (2010)</w:t>
            </w:r>
          </w:p>
        </w:tc>
        <w:tc>
          <w:tcPr>
            <w:tcW w:w="1270" w:type="dxa"/>
          </w:tcPr>
          <w:p w14:paraId="3303D2AE" w14:textId="09947373" w:rsidR="003C4E48" w:rsidRPr="006D791E" w:rsidRDefault="006D791E"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791E">
              <w:rPr>
                <w:rFonts w:ascii="Times New Roman" w:hAnsi="Times New Roman" w:cs="Times New Roman"/>
                <w:sz w:val="24"/>
                <w:szCs w:val="24"/>
              </w:rPr>
              <w:t>Systematic Review</w:t>
            </w:r>
            <w:r>
              <w:rPr>
                <w:rFonts w:ascii="Times New Roman" w:hAnsi="Times New Roman" w:cs="Times New Roman"/>
                <w:sz w:val="24"/>
                <w:szCs w:val="24"/>
              </w:rPr>
              <w:t xml:space="preserve"> (Cochrane Library)</w:t>
            </w:r>
          </w:p>
        </w:tc>
        <w:tc>
          <w:tcPr>
            <w:tcW w:w="1443" w:type="dxa"/>
          </w:tcPr>
          <w:p w14:paraId="34B62239" w14:textId="1F1DB98D" w:rsidR="003C4E48" w:rsidRPr="006D791E" w:rsidRDefault="006D791E"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791E">
              <w:rPr>
                <w:rFonts w:ascii="Times New Roman" w:hAnsi="Times New Roman" w:cs="Times New Roman"/>
                <w:sz w:val="24"/>
                <w:szCs w:val="24"/>
              </w:rPr>
              <w:t>1</w:t>
            </w:r>
          </w:p>
        </w:tc>
        <w:tc>
          <w:tcPr>
            <w:tcW w:w="1950" w:type="dxa"/>
          </w:tcPr>
          <w:p w14:paraId="4A4BA359" w14:textId="4DA9DD5C" w:rsidR="003C4E48" w:rsidRPr="006D791E" w:rsidRDefault="006D791E"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791E">
              <w:rPr>
                <w:rFonts w:ascii="Times New Roman" w:hAnsi="Times New Roman" w:cs="Times New Roman"/>
                <w:sz w:val="24"/>
                <w:szCs w:val="24"/>
              </w:rPr>
              <w:t>Hi</w:t>
            </w:r>
            <w:r>
              <w:rPr>
                <w:rFonts w:ascii="Times New Roman" w:hAnsi="Times New Roman" w:cs="Times New Roman"/>
                <w:sz w:val="24"/>
                <w:szCs w:val="24"/>
              </w:rPr>
              <w:t>gh (CASP)</w:t>
            </w:r>
          </w:p>
        </w:tc>
        <w:tc>
          <w:tcPr>
            <w:tcW w:w="1975" w:type="dxa"/>
          </w:tcPr>
          <w:p w14:paraId="52C6617A" w14:textId="4A751042" w:rsidR="003C4E48" w:rsidRPr="006D791E" w:rsidRDefault="006D791E"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Review of 22 RCTs comparing effect of different preoperative fasting regimens</w:t>
            </w:r>
            <w:r w:rsidR="00E0773C">
              <w:rPr>
                <w:rFonts w:ascii="Times New Roman" w:hAnsi="Times New Roman" w:cs="Times New Roman"/>
                <w:sz w:val="24"/>
                <w:szCs w:val="24"/>
              </w:rPr>
              <w:t xml:space="preserve"> using Cochrane criteria for systematic reviews.</w:t>
            </w:r>
          </w:p>
        </w:tc>
        <w:tc>
          <w:tcPr>
            <w:tcW w:w="2923" w:type="dxa"/>
          </w:tcPr>
          <w:p w14:paraId="1F965E7D" w14:textId="0ABC0551" w:rsidR="003C4E48" w:rsidRPr="00E0773C" w:rsidRDefault="00E0773C"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evidence to indicate that shorter fasting times preoperatively are related to increased risk of aspiration, regurgitation, or other perioperative consequences.</w:t>
            </w:r>
          </w:p>
        </w:tc>
        <w:tc>
          <w:tcPr>
            <w:tcW w:w="1922" w:type="dxa"/>
          </w:tcPr>
          <w:p w14:paraId="66B39ABA" w14:textId="3CE21AB7" w:rsidR="003C4E48" w:rsidRPr="00E0773C" w:rsidRDefault="00E0773C" w:rsidP="00825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This research is based on a sample of healthy adults and so cannot generalize to other perhaps more compromised </w:t>
            </w:r>
            <w:r>
              <w:rPr>
                <w:rFonts w:ascii="Times New Roman" w:hAnsi="Times New Roman" w:cs="Times New Roman"/>
                <w:sz w:val="24"/>
                <w:szCs w:val="24"/>
              </w:rPr>
              <w:lastRenderedPageBreak/>
              <w:t>groups, e.g., pregnant women or patients with additional co-morbidities.</w:t>
            </w:r>
          </w:p>
        </w:tc>
      </w:tr>
      <w:tr w:rsidR="00EB5FB5" w14:paraId="71C71B0E" w14:textId="77777777" w:rsidTr="00EB5FB5">
        <w:tc>
          <w:tcPr>
            <w:cnfStyle w:val="001000000000" w:firstRow="0" w:lastRow="0" w:firstColumn="1" w:lastColumn="0" w:oddVBand="0" w:evenVBand="0" w:oddHBand="0" w:evenHBand="0" w:firstRowFirstColumn="0" w:firstRowLastColumn="0" w:lastRowFirstColumn="0" w:lastRowLastColumn="0"/>
            <w:tcW w:w="1467" w:type="dxa"/>
          </w:tcPr>
          <w:p w14:paraId="0059EBDB" w14:textId="3ED20E60" w:rsidR="00EB5FB5" w:rsidRPr="00243FA7" w:rsidRDefault="00EB5FB5" w:rsidP="00EB5FB5">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Liang (2021)</w:t>
            </w:r>
          </w:p>
        </w:tc>
        <w:tc>
          <w:tcPr>
            <w:tcW w:w="1270" w:type="dxa"/>
          </w:tcPr>
          <w:p w14:paraId="14B9CFCF" w14:textId="654273C5" w:rsidR="00EB5FB5" w:rsidRPr="00243FA7" w:rsidRDefault="00D86975" w:rsidP="00EB5F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Intervention Study</w:t>
            </w:r>
          </w:p>
        </w:tc>
        <w:tc>
          <w:tcPr>
            <w:tcW w:w="1443" w:type="dxa"/>
          </w:tcPr>
          <w:p w14:paraId="3765E1DD" w14:textId="210A3151" w:rsidR="00EB5FB5" w:rsidRPr="00243FA7" w:rsidRDefault="00D86975" w:rsidP="00EB5F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950" w:type="dxa"/>
          </w:tcPr>
          <w:p w14:paraId="5A969CD4" w14:textId="66EA0EB6" w:rsidR="00EB5FB5" w:rsidRPr="00D80061" w:rsidRDefault="00D80061" w:rsidP="00EB5F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0061">
              <w:rPr>
                <w:rFonts w:ascii="Times New Roman" w:hAnsi="Times New Roman" w:cs="Times New Roman"/>
                <w:bCs/>
                <w:sz w:val="24"/>
                <w:szCs w:val="24"/>
              </w:rPr>
              <w:t>Strong (CAT)</w:t>
            </w:r>
          </w:p>
        </w:tc>
        <w:tc>
          <w:tcPr>
            <w:tcW w:w="1975" w:type="dxa"/>
          </w:tcPr>
          <w:p w14:paraId="53C38B6F" w14:textId="77777777" w:rsidR="00D80061" w:rsidRDefault="00D80061" w:rsidP="00D80061">
            <w:pPr>
              <w:pStyle w:val="Default"/>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 xml:space="preserve">Quasi-experimental intervention study examining </w:t>
            </w:r>
          </w:p>
          <w:p w14:paraId="5F0B503F" w14:textId="1F12B909" w:rsidR="00EB5FB5" w:rsidRPr="00D80061" w:rsidRDefault="00D80061" w:rsidP="00D800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 xml:space="preserve"> </w:t>
            </w:r>
            <w:r w:rsidRPr="00D80061">
              <w:rPr>
                <w:rFonts w:ascii="Times New Roman" w:hAnsi="Times New Roman" w:cs="Times New Roman"/>
                <w:sz w:val="24"/>
                <w:szCs w:val="24"/>
              </w:rPr>
              <w:t>6-h fasting and 2-h water deprivation, versus 12-h fasting and 6-h water deprivation before their surgeries</w:t>
            </w:r>
            <w:r w:rsidR="00D86975">
              <w:rPr>
                <w:rFonts w:ascii="Times New Roman" w:hAnsi="Times New Roman" w:cs="Times New Roman"/>
                <w:sz w:val="24"/>
                <w:szCs w:val="24"/>
              </w:rPr>
              <w:t>.</w:t>
            </w:r>
          </w:p>
        </w:tc>
        <w:tc>
          <w:tcPr>
            <w:tcW w:w="2923" w:type="dxa"/>
          </w:tcPr>
          <w:p w14:paraId="50127BEB" w14:textId="22FF51BD" w:rsidR="00EB5FB5" w:rsidRPr="00D80061" w:rsidRDefault="00D80061" w:rsidP="00D800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0061">
              <w:rPr>
                <w:rFonts w:ascii="Times New Roman" w:hAnsi="Times New Roman" w:cs="Times New Roman"/>
                <w:sz w:val="24"/>
                <w:szCs w:val="24"/>
              </w:rPr>
              <w:t>Shortening preoperative fasting improves the comfort levels of patients undergoing elective LC, alleviates thirst and hunger, promotes the recovery of gastrointestinal function, and relieves preoperative anxiety, postoperative pain, and adverse reactions.</w:t>
            </w:r>
          </w:p>
        </w:tc>
        <w:tc>
          <w:tcPr>
            <w:tcW w:w="1922" w:type="dxa"/>
          </w:tcPr>
          <w:p w14:paraId="7028C9F3" w14:textId="1FD8983C" w:rsidR="00EB5FB5" w:rsidRPr="00D80061" w:rsidRDefault="00D80061" w:rsidP="00D800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0061">
              <w:rPr>
                <w:rFonts w:ascii="Times New Roman" w:hAnsi="Times New Roman" w:cs="Times New Roman"/>
                <w:sz w:val="24"/>
                <w:szCs w:val="24"/>
              </w:rPr>
              <w:t>No random assignment, no random sampling</w:t>
            </w:r>
            <w:r>
              <w:rPr>
                <w:rFonts w:ascii="Times New Roman" w:hAnsi="Times New Roman" w:cs="Times New Roman"/>
                <w:sz w:val="24"/>
                <w:szCs w:val="24"/>
              </w:rPr>
              <w:t>. No power analysis. All findings statistically significant. Adult patients</w:t>
            </w:r>
            <w:r w:rsidR="001C160C">
              <w:rPr>
                <w:rFonts w:ascii="Times New Roman" w:hAnsi="Times New Roman" w:cs="Times New Roman"/>
                <w:sz w:val="24"/>
                <w:szCs w:val="24"/>
              </w:rPr>
              <w:t>.</w:t>
            </w:r>
            <w:r>
              <w:rPr>
                <w:rFonts w:ascii="Times New Roman" w:hAnsi="Times New Roman" w:cs="Times New Roman"/>
                <w:sz w:val="24"/>
                <w:szCs w:val="24"/>
              </w:rPr>
              <w:t xml:space="preserve"> </w:t>
            </w:r>
            <w:r w:rsidRPr="00D80061">
              <w:rPr>
                <w:rFonts w:ascii="Times New Roman" w:hAnsi="Times New Roman" w:cs="Times New Roman"/>
                <w:color w:val="000000"/>
                <w:sz w:val="24"/>
                <w:szCs w:val="24"/>
              </w:rPr>
              <w:t xml:space="preserve">Patients </w:t>
            </w:r>
            <w:r w:rsidR="001C160C">
              <w:rPr>
                <w:rFonts w:ascii="Times New Roman" w:hAnsi="Times New Roman" w:cs="Times New Roman"/>
                <w:color w:val="000000"/>
                <w:sz w:val="24"/>
                <w:szCs w:val="24"/>
              </w:rPr>
              <w:t xml:space="preserve">were </w:t>
            </w:r>
            <w:r w:rsidRPr="00D80061">
              <w:rPr>
                <w:rFonts w:ascii="Times New Roman" w:hAnsi="Times New Roman" w:cs="Times New Roman"/>
                <w:color w:val="000000"/>
                <w:sz w:val="24"/>
                <w:szCs w:val="24"/>
              </w:rPr>
              <w:t>classified into ASA grades I-II</w:t>
            </w:r>
            <w:r>
              <w:rPr>
                <w:rFonts w:ascii="Times New Roman" w:hAnsi="Times New Roman" w:cs="Times New Roman"/>
                <w:color w:val="000000"/>
                <w:sz w:val="24"/>
                <w:szCs w:val="24"/>
              </w:rPr>
              <w:t xml:space="preserve">. </w:t>
            </w:r>
            <w:r>
              <w:rPr>
                <w:rFonts w:cs="Franklin Gothic Book"/>
                <w:color w:val="000000"/>
                <w:sz w:val="20"/>
                <w:szCs w:val="20"/>
              </w:rPr>
              <w:t xml:space="preserve"> </w:t>
            </w:r>
            <w:r w:rsidRPr="00D80061">
              <w:rPr>
                <w:rFonts w:ascii="Times New Roman" w:hAnsi="Times New Roman" w:cs="Times New Roman"/>
                <w:sz w:val="24"/>
                <w:szCs w:val="24"/>
              </w:rPr>
              <w:t xml:space="preserve"> </w:t>
            </w:r>
          </w:p>
        </w:tc>
      </w:tr>
    </w:tbl>
    <w:p w14:paraId="001D9F36" w14:textId="77777777" w:rsidR="001C160C" w:rsidRDefault="003C4E48" w:rsidP="008338E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6BBFABE6" w14:textId="535507EB" w:rsidR="003C4E48" w:rsidRPr="003C4E48" w:rsidRDefault="003C4E48" w:rsidP="008338E8">
      <w:pPr>
        <w:spacing w:after="0" w:line="240" w:lineRule="auto"/>
        <w:rPr>
          <w:rFonts w:ascii="Times New Roman" w:hAnsi="Times New Roman" w:cs="Times New Roman"/>
          <w:sz w:val="24"/>
          <w:szCs w:val="24"/>
        </w:rPr>
      </w:pPr>
      <w:r>
        <w:rPr>
          <w:rFonts w:ascii="Times New Roman" w:hAnsi="Times New Roman" w:cs="Times New Roman"/>
          <w:b/>
          <w:bCs/>
          <w:sz w:val="28"/>
          <w:szCs w:val="28"/>
        </w:rPr>
        <w:t>*</w:t>
      </w:r>
      <w:r>
        <w:rPr>
          <w:rFonts w:ascii="Times New Roman" w:hAnsi="Times New Roman" w:cs="Times New Roman"/>
          <w:sz w:val="24"/>
          <w:szCs w:val="24"/>
        </w:rPr>
        <w:t>Citation only. Full reference would appear in Reference List.</w:t>
      </w:r>
    </w:p>
    <w:p w14:paraId="4EB69E0B" w14:textId="1EB29CE7" w:rsidR="008338E8" w:rsidRDefault="003C4E48" w:rsidP="008338E8">
      <w:pPr>
        <w:spacing w:after="0" w:line="240" w:lineRule="auto"/>
        <w:rPr>
          <w:rFonts w:ascii="Times New Roman" w:hAnsi="Times New Roman" w:cs="Times New Roman"/>
          <w:sz w:val="24"/>
          <w:szCs w:val="24"/>
        </w:rPr>
      </w:pPr>
      <w:r>
        <w:rPr>
          <w:rFonts w:ascii="Times New Roman" w:hAnsi="Times New Roman" w:cs="Times New Roman"/>
          <w:b/>
          <w:bCs/>
          <w:sz w:val="28"/>
          <w:szCs w:val="28"/>
        </w:rPr>
        <w:t>**</w:t>
      </w:r>
      <w:r w:rsidR="00E85986">
        <w:rPr>
          <w:rFonts w:ascii="Times New Roman" w:hAnsi="Times New Roman" w:cs="Times New Roman"/>
          <w:sz w:val="24"/>
          <w:szCs w:val="24"/>
        </w:rPr>
        <w:t>Identify the LOE used in the project as well as the level of the evidence source.</w:t>
      </w:r>
      <w:r w:rsidR="006D791E">
        <w:rPr>
          <w:rFonts w:ascii="Times New Roman" w:hAnsi="Times New Roman" w:cs="Times New Roman"/>
          <w:sz w:val="24"/>
          <w:szCs w:val="24"/>
        </w:rPr>
        <w:t xml:space="preserve"> For this TOE it would be</w:t>
      </w:r>
      <w:r w:rsidR="008073D9">
        <w:rPr>
          <w:rFonts w:ascii="Times New Roman" w:hAnsi="Times New Roman" w:cs="Times New Roman"/>
          <w:sz w:val="24"/>
          <w:szCs w:val="24"/>
        </w:rPr>
        <w:t>:</w:t>
      </w:r>
    </w:p>
    <w:p w14:paraId="1A66DC7E" w14:textId="77777777" w:rsidR="008338E8" w:rsidRDefault="008073D9" w:rsidP="008338E8">
      <w:pPr>
        <w:spacing w:after="0" w:line="240" w:lineRule="auto"/>
        <w:rPr>
          <w:rFonts w:ascii="Goudy-Italic" w:hAnsi="Goudy-Italic" w:cs="Goudy-Italic"/>
          <w:i/>
          <w:iCs/>
        </w:rPr>
      </w:pPr>
      <w:r>
        <w:rPr>
          <w:rFonts w:ascii="Goudy-Italic" w:hAnsi="Goudy-Italic" w:cs="Goudy-Italic"/>
          <w:iCs/>
        </w:rPr>
        <w:t xml:space="preserve">Levin, R. F. (2011). Edifices of evidence: The proliferation of pyramids. </w:t>
      </w:r>
      <w:r>
        <w:rPr>
          <w:rFonts w:ascii="Goudy-Italic" w:hAnsi="Goudy-Italic" w:cs="Goudy-Italic"/>
          <w:i/>
          <w:iCs/>
        </w:rPr>
        <w:t xml:space="preserve">Research and Theory for Nursing Practice: An International Journal, </w:t>
      </w:r>
    </w:p>
    <w:p w14:paraId="3B181575" w14:textId="3A4E807B" w:rsidR="008073D9" w:rsidRPr="008338E8" w:rsidRDefault="008338E8" w:rsidP="008338E8">
      <w:pPr>
        <w:spacing w:after="0" w:line="240" w:lineRule="auto"/>
        <w:rPr>
          <w:rFonts w:ascii="Times New Roman" w:hAnsi="Times New Roman" w:cs="Times New Roman"/>
          <w:sz w:val="24"/>
          <w:szCs w:val="24"/>
        </w:rPr>
      </w:pPr>
      <w:r>
        <w:rPr>
          <w:rFonts w:ascii="Goudy-Italic" w:hAnsi="Goudy-Italic" w:cs="Goudy-Italic"/>
          <w:i/>
          <w:iCs/>
        </w:rPr>
        <w:t xml:space="preserve">     </w:t>
      </w:r>
      <w:r w:rsidR="008073D9">
        <w:rPr>
          <w:rFonts w:ascii="Goudy-Italic" w:hAnsi="Goudy-Italic" w:cs="Goudy-Italic"/>
          <w:i/>
          <w:iCs/>
        </w:rPr>
        <w:t>25</w:t>
      </w:r>
      <w:r w:rsidR="008073D9">
        <w:rPr>
          <w:rFonts w:ascii="Goudy-Italic" w:hAnsi="Goudy-Italic" w:cs="Goudy-Italic"/>
          <w:iCs/>
        </w:rPr>
        <w:t>(1), 8-10.</w:t>
      </w:r>
    </w:p>
    <w:p w14:paraId="77707E69" w14:textId="5A610208" w:rsidR="003C4E48" w:rsidRDefault="003C4E48" w:rsidP="008338E8">
      <w:pPr>
        <w:spacing w:after="0" w:line="240" w:lineRule="auto"/>
        <w:rPr>
          <w:rFonts w:ascii="Times New Roman" w:hAnsi="Times New Roman" w:cs="Times New Roman"/>
          <w:sz w:val="24"/>
          <w:szCs w:val="24"/>
        </w:rPr>
      </w:pPr>
      <w:r>
        <w:rPr>
          <w:rFonts w:ascii="Times New Roman" w:hAnsi="Times New Roman" w:cs="Times New Roman"/>
          <w:b/>
          <w:bCs/>
          <w:sz w:val="28"/>
          <w:szCs w:val="28"/>
        </w:rPr>
        <w:t>***</w:t>
      </w:r>
      <w:r w:rsidR="00E85986">
        <w:rPr>
          <w:rFonts w:ascii="Times New Roman" w:hAnsi="Times New Roman" w:cs="Times New Roman"/>
          <w:sz w:val="24"/>
          <w:szCs w:val="24"/>
        </w:rPr>
        <w:t>Description of methods will differ depending on evidence source (TBD)</w:t>
      </w:r>
    </w:p>
    <w:p w14:paraId="2564D533" w14:textId="77777777" w:rsidR="008338E8" w:rsidRDefault="008338E8" w:rsidP="008338E8">
      <w:pPr>
        <w:spacing w:after="0" w:line="240" w:lineRule="auto"/>
        <w:rPr>
          <w:rFonts w:ascii="Times New Roman" w:hAnsi="Times New Roman" w:cs="Times New Roman"/>
          <w:sz w:val="24"/>
          <w:szCs w:val="24"/>
        </w:rPr>
      </w:pPr>
    </w:p>
    <w:p w14:paraId="30C497D4" w14:textId="2E708D4E" w:rsidR="008338E8" w:rsidRPr="005B6179" w:rsidRDefault="008338E8" w:rsidP="005B6179">
      <w:pPr>
        <w:jc w:val="center"/>
        <w:rPr>
          <w:rFonts w:ascii="Times New Roman" w:hAnsi="Times New Roman" w:cs="Times New Roman"/>
          <w:b/>
          <w:bCs/>
          <w:sz w:val="24"/>
          <w:szCs w:val="24"/>
        </w:rPr>
      </w:pPr>
      <w:r w:rsidRPr="005B6179">
        <w:rPr>
          <w:rFonts w:ascii="Times New Roman" w:hAnsi="Times New Roman" w:cs="Times New Roman"/>
          <w:b/>
          <w:bCs/>
          <w:sz w:val="24"/>
          <w:szCs w:val="24"/>
        </w:rPr>
        <w:t>References</w:t>
      </w:r>
    </w:p>
    <w:p w14:paraId="212B610F" w14:textId="77777777" w:rsidR="008338E8" w:rsidRDefault="008338E8" w:rsidP="005B6179">
      <w:pPr>
        <w:spacing w:after="0" w:line="240" w:lineRule="auto"/>
        <w:rPr>
          <w:rFonts w:ascii="Times New Roman" w:hAnsi="Times New Roman" w:cs="Times New Roman"/>
          <w:sz w:val="24"/>
          <w:szCs w:val="24"/>
        </w:rPr>
      </w:pPr>
      <w:r w:rsidRPr="008338E8">
        <w:rPr>
          <w:rFonts w:ascii="Times New Roman" w:hAnsi="Times New Roman" w:cs="Times New Roman"/>
          <w:sz w:val="24"/>
          <w:szCs w:val="24"/>
        </w:rPr>
        <w:t>Brady, M. C., Kinn, S., Stuart, P., &amp;amp; Ness, V. (2010). Preoperative fasting for adults to prevent</w:t>
      </w:r>
      <w:r>
        <w:rPr>
          <w:rFonts w:ascii="Times New Roman" w:hAnsi="Times New Roman" w:cs="Times New Roman"/>
          <w:sz w:val="24"/>
          <w:szCs w:val="24"/>
        </w:rPr>
        <w:t xml:space="preserve"> </w:t>
      </w:r>
      <w:r w:rsidRPr="008338E8">
        <w:rPr>
          <w:rFonts w:ascii="Times New Roman" w:hAnsi="Times New Roman" w:cs="Times New Roman"/>
          <w:sz w:val="24"/>
          <w:szCs w:val="24"/>
        </w:rPr>
        <w:t xml:space="preserve">perioperative complications </w:t>
      </w:r>
    </w:p>
    <w:p w14:paraId="12402DA2" w14:textId="0F4D01EC" w:rsidR="008338E8" w:rsidRDefault="008338E8"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38E8">
        <w:rPr>
          <w:rFonts w:ascii="Times New Roman" w:hAnsi="Times New Roman" w:cs="Times New Roman"/>
          <w:sz w:val="24"/>
          <w:szCs w:val="24"/>
        </w:rPr>
        <w:t xml:space="preserve">(review). </w:t>
      </w:r>
      <w:r w:rsidRPr="008338E8">
        <w:rPr>
          <w:rFonts w:ascii="Times New Roman" w:hAnsi="Times New Roman" w:cs="Times New Roman"/>
          <w:i/>
          <w:iCs/>
          <w:sz w:val="24"/>
          <w:szCs w:val="24"/>
        </w:rPr>
        <w:t>Cochrane Database of Systematic Reviews</w:t>
      </w:r>
      <w:r w:rsidRPr="008338E8">
        <w:rPr>
          <w:rFonts w:ascii="Times New Roman" w:hAnsi="Times New Roman" w:cs="Times New Roman"/>
          <w:sz w:val="24"/>
          <w:szCs w:val="24"/>
        </w:rPr>
        <w:t>2003, 4.</w:t>
      </w:r>
      <w:r>
        <w:rPr>
          <w:rFonts w:ascii="Times New Roman" w:hAnsi="Times New Roman" w:cs="Times New Roman"/>
          <w:sz w:val="24"/>
          <w:szCs w:val="24"/>
        </w:rPr>
        <w:t xml:space="preserve"> </w:t>
      </w:r>
      <w:r w:rsidR="00D86975">
        <w:rPr>
          <w:rFonts w:ascii="Times New Roman" w:hAnsi="Times New Roman" w:cs="Times New Roman"/>
          <w:sz w:val="24"/>
          <w:szCs w:val="24"/>
        </w:rPr>
        <w:t>https://doi.org/</w:t>
      </w:r>
      <w:r w:rsidRPr="008338E8">
        <w:rPr>
          <w:rFonts w:ascii="Times New Roman" w:hAnsi="Times New Roman" w:cs="Times New Roman"/>
          <w:sz w:val="24"/>
          <w:szCs w:val="24"/>
        </w:rPr>
        <w:t>10.1002/14651858.CD004423.</w:t>
      </w:r>
    </w:p>
    <w:p w14:paraId="27DD174A" w14:textId="747975E5" w:rsidR="00A6078B" w:rsidRDefault="00A6078B"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Critical Appraisals Skills Programme (2023). </w:t>
      </w:r>
      <w:r w:rsidRPr="00A6078B">
        <w:rPr>
          <w:rFonts w:ascii="Times New Roman" w:hAnsi="Times New Roman" w:cs="Times New Roman"/>
          <w:sz w:val="24"/>
          <w:szCs w:val="24"/>
        </w:rPr>
        <w:t>https://casp-uk.net/critical-appraisal-tools-and-resources/</w:t>
      </w:r>
    </w:p>
    <w:p w14:paraId="32D74F74" w14:textId="7521AC54" w:rsidR="00A6078B" w:rsidRDefault="00A6078B"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Grade Working Group (2022-2023). </w:t>
      </w:r>
      <w:r w:rsidRPr="00A6078B">
        <w:rPr>
          <w:rFonts w:ascii="Times New Roman" w:hAnsi="Times New Roman" w:cs="Times New Roman"/>
          <w:sz w:val="24"/>
          <w:szCs w:val="24"/>
        </w:rPr>
        <w:t>https://www.gradeworkinggroup.org/</w:t>
      </w:r>
    </w:p>
    <w:p w14:paraId="025864D8" w14:textId="1740FA84" w:rsidR="008338E8" w:rsidRDefault="008338E8" w:rsidP="005B6179">
      <w:pPr>
        <w:spacing w:after="0" w:line="240" w:lineRule="auto"/>
        <w:rPr>
          <w:rFonts w:ascii="Times New Roman" w:hAnsi="Times New Roman" w:cs="Times New Roman"/>
          <w:sz w:val="24"/>
          <w:szCs w:val="24"/>
        </w:rPr>
      </w:pPr>
      <w:r w:rsidRPr="008338E8">
        <w:rPr>
          <w:rFonts w:ascii="Times New Roman" w:hAnsi="Times New Roman" w:cs="Times New Roman"/>
          <w:sz w:val="24"/>
          <w:szCs w:val="24"/>
        </w:rPr>
        <w:t>Joshi, G. P., Abdelmalak, B. B., Weigel, W. A., Kuo, C. I., Stricker, P. A., Tipton, T., Grant, M.</w:t>
      </w:r>
      <w:r>
        <w:rPr>
          <w:rFonts w:ascii="Times New Roman" w:hAnsi="Times New Roman" w:cs="Times New Roman"/>
          <w:sz w:val="24"/>
          <w:szCs w:val="24"/>
        </w:rPr>
        <w:t xml:space="preserve">, </w:t>
      </w:r>
      <w:r w:rsidRPr="008338E8">
        <w:rPr>
          <w:rFonts w:ascii="Times New Roman" w:hAnsi="Times New Roman" w:cs="Times New Roman"/>
          <w:sz w:val="24"/>
          <w:szCs w:val="24"/>
        </w:rPr>
        <w:t xml:space="preserve">D., Marbella, A. M., Agarkar, M., </w:t>
      </w:r>
    </w:p>
    <w:p w14:paraId="39AAC5DE" w14:textId="423C58FE" w:rsidR="008338E8" w:rsidRDefault="008338E8"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38E8">
        <w:rPr>
          <w:rFonts w:ascii="Times New Roman" w:hAnsi="Times New Roman" w:cs="Times New Roman"/>
          <w:sz w:val="24"/>
          <w:szCs w:val="24"/>
        </w:rPr>
        <w:t>Blanck, J. F., &amp;amp; Domino, K. B. (2023). 2023</w:t>
      </w:r>
      <w:r>
        <w:rPr>
          <w:rFonts w:ascii="Times New Roman" w:hAnsi="Times New Roman" w:cs="Times New Roman"/>
          <w:sz w:val="24"/>
          <w:szCs w:val="24"/>
        </w:rPr>
        <w:t xml:space="preserve"> </w:t>
      </w:r>
      <w:r w:rsidRPr="008338E8">
        <w:rPr>
          <w:rFonts w:ascii="Times New Roman" w:hAnsi="Times New Roman" w:cs="Times New Roman"/>
          <w:sz w:val="24"/>
          <w:szCs w:val="24"/>
        </w:rPr>
        <w:t xml:space="preserve">American Society of Anesthesiologists </w:t>
      </w:r>
      <w:r w:rsidR="005B6179">
        <w:rPr>
          <w:rFonts w:ascii="Times New Roman" w:hAnsi="Times New Roman" w:cs="Times New Roman"/>
          <w:sz w:val="24"/>
          <w:szCs w:val="24"/>
        </w:rPr>
        <w:t>P</w:t>
      </w:r>
      <w:r w:rsidRPr="008338E8">
        <w:rPr>
          <w:rFonts w:ascii="Times New Roman" w:hAnsi="Times New Roman" w:cs="Times New Roman"/>
          <w:sz w:val="24"/>
          <w:szCs w:val="24"/>
        </w:rPr>
        <w:t xml:space="preserve">ractice </w:t>
      </w:r>
      <w:r w:rsidR="005B6179">
        <w:rPr>
          <w:rFonts w:ascii="Times New Roman" w:hAnsi="Times New Roman" w:cs="Times New Roman"/>
          <w:sz w:val="24"/>
          <w:szCs w:val="24"/>
        </w:rPr>
        <w:t>G</w:t>
      </w:r>
      <w:r w:rsidRPr="008338E8">
        <w:rPr>
          <w:rFonts w:ascii="Times New Roman" w:hAnsi="Times New Roman" w:cs="Times New Roman"/>
          <w:sz w:val="24"/>
          <w:szCs w:val="24"/>
        </w:rPr>
        <w:t xml:space="preserve">uidelines for </w:t>
      </w:r>
      <w:r w:rsidR="005B6179">
        <w:rPr>
          <w:rFonts w:ascii="Times New Roman" w:hAnsi="Times New Roman" w:cs="Times New Roman"/>
          <w:sz w:val="24"/>
          <w:szCs w:val="24"/>
        </w:rPr>
        <w:t>P</w:t>
      </w:r>
      <w:r w:rsidRPr="008338E8">
        <w:rPr>
          <w:rFonts w:ascii="Times New Roman" w:hAnsi="Times New Roman" w:cs="Times New Roman"/>
          <w:sz w:val="24"/>
          <w:szCs w:val="24"/>
        </w:rPr>
        <w:t xml:space="preserve">reoperative </w:t>
      </w:r>
    </w:p>
    <w:p w14:paraId="2C40E855" w14:textId="43F289B2" w:rsidR="008338E8" w:rsidRDefault="008338E8"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B6179">
        <w:rPr>
          <w:rFonts w:ascii="Times New Roman" w:hAnsi="Times New Roman" w:cs="Times New Roman"/>
          <w:sz w:val="24"/>
          <w:szCs w:val="24"/>
        </w:rPr>
        <w:t>F</w:t>
      </w:r>
      <w:r w:rsidRPr="008338E8">
        <w:rPr>
          <w:rFonts w:ascii="Times New Roman" w:hAnsi="Times New Roman" w:cs="Times New Roman"/>
          <w:sz w:val="24"/>
          <w:szCs w:val="24"/>
        </w:rPr>
        <w:t>asting:</w:t>
      </w:r>
      <w:r>
        <w:rPr>
          <w:rFonts w:ascii="Times New Roman" w:hAnsi="Times New Roman" w:cs="Times New Roman"/>
          <w:sz w:val="24"/>
          <w:szCs w:val="24"/>
        </w:rPr>
        <w:t xml:space="preserve"> </w:t>
      </w:r>
      <w:r w:rsidRPr="008338E8">
        <w:rPr>
          <w:rFonts w:ascii="Times New Roman" w:hAnsi="Times New Roman" w:cs="Times New Roman"/>
          <w:sz w:val="24"/>
          <w:szCs w:val="24"/>
        </w:rPr>
        <w:t>Carbohydrate-containing clear liquids with or without protein, chewing gum, and</w:t>
      </w:r>
      <w:r>
        <w:rPr>
          <w:rFonts w:ascii="Times New Roman" w:hAnsi="Times New Roman" w:cs="Times New Roman"/>
          <w:sz w:val="24"/>
          <w:szCs w:val="24"/>
        </w:rPr>
        <w:t xml:space="preserve"> p</w:t>
      </w:r>
      <w:r w:rsidRPr="008338E8">
        <w:rPr>
          <w:rFonts w:ascii="Times New Roman" w:hAnsi="Times New Roman" w:cs="Times New Roman"/>
          <w:sz w:val="24"/>
          <w:szCs w:val="24"/>
        </w:rPr>
        <w:t xml:space="preserve">ediatric fasting duration – A modular </w:t>
      </w:r>
    </w:p>
    <w:p w14:paraId="57E5DC15" w14:textId="29D73B9F" w:rsidR="008338E8" w:rsidRDefault="008338E8"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38E8">
        <w:rPr>
          <w:rFonts w:ascii="Times New Roman" w:hAnsi="Times New Roman" w:cs="Times New Roman"/>
          <w:sz w:val="24"/>
          <w:szCs w:val="24"/>
        </w:rPr>
        <w:t>update of the 2017 American Society of</w:t>
      </w:r>
      <w:r>
        <w:rPr>
          <w:rFonts w:ascii="Times New Roman" w:hAnsi="Times New Roman" w:cs="Times New Roman"/>
          <w:sz w:val="24"/>
          <w:szCs w:val="24"/>
        </w:rPr>
        <w:t xml:space="preserve"> </w:t>
      </w:r>
      <w:r w:rsidRPr="008338E8">
        <w:rPr>
          <w:rFonts w:ascii="Times New Roman" w:hAnsi="Times New Roman" w:cs="Times New Roman"/>
          <w:sz w:val="24"/>
          <w:szCs w:val="24"/>
        </w:rPr>
        <w:t xml:space="preserve">Anesthesiologists Practice Guidelines for Preoperative Fasting. </w:t>
      </w:r>
      <w:r w:rsidRPr="008338E8">
        <w:rPr>
          <w:rFonts w:ascii="Times New Roman" w:hAnsi="Times New Roman" w:cs="Times New Roman"/>
          <w:i/>
          <w:iCs/>
          <w:sz w:val="24"/>
          <w:szCs w:val="24"/>
        </w:rPr>
        <w:t>Anesthesiology 138</w:t>
      </w:r>
      <w:r w:rsidRPr="008338E8">
        <w:rPr>
          <w:rFonts w:ascii="Times New Roman" w:hAnsi="Times New Roman" w:cs="Times New Roman"/>
          <w:sz w:val="24"/>
          <w:szCs w:val="24"/>
        </w:rPr>
        <w:t>,</w:t>
      </w:r>
    </w:p>
    <w:p w14:paraId="69BF94B7" w14:textId="1C0BB55F" w:rsidR="008338E8" w:rsidRPr="00E85986" w:rsidRDefault="008338E8"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38E8">
        <w:rPr>
          <w:rFonts w:ascii="Times New Roman" w:hAnsi="Times New Roman" w:cs="Times New Roman"/>
          <w:sz w:val="24"/>
          <w:szCs w:val="24"/>
        </w:rPr>
        <w:t xml:space="preserve">132-151. </w:t>
      </w:r>
      <w:r w:rsidR="00D86975">
        <w:rPr>
          <w:rFonts w:ascii="Times New Roman" w:hAnsi="Times New Roman" w:cs="Times New Roman"/>
          <w:sz w:val="24"/>
          <w:szCs w:val="24"/>
        </w:rPr>
        <w:t>https://doi.org/</w:t>
      </w:r>
      <w:r w:rsidRPr="008338E8">
        <w:rPr>
          <w:rFonts w:ascii="Times New Roman" w:hAnsi="Times New Roman" w:cs="Times New Roman"/>
          <w:sz w:val="24"/>
          <w:szCs w:val="24"/>
        </w:rPr>
        <w:t>10.1097/ALN.0000000000004318</w:t>
      </w:r>
    </w:p>
    <w:p w14:paraId="6C348719" w14:textId="77777777" w:rsidR="00BF6040" w:rsidRDefault="00BF6040"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Liang, Y., Yan, X., Liao, Y. (2021). The effect of shortening the preoperative fasting period on patient comfort and gastrointestinal </w:t>
      </w:r>
    </w:p>
    <w:p w14:paraId="125CF503" w14:textId="5E742A7D" w:rsidR="00BF6040" w:rsidRDefault="00BF6040" w:rsidP="005B6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function after elective laparoscopic surgery. </w:t>
      </w:r>
      <w:r>
        <w:rPr>
          <w:rFonts w:ascii="Times New Roman" w:hAnsi="Times New Roman" w:cs="Times New Roman"/>
          <w:i/>
          <w:iCs/>
          <w:sz w:val="24"/>
          <w:szCs w:val="24"/>
        </w:rPr>
        <w:t>American Journal of Translational Research, 13</w:t>
      </w:r>
      <w:r>
        <w:rPr>
          <w:rFonts w:ascii="Times New Roman" w:hAnsi="Times New Roman" w:cs="Times New Roman"/>
          <w:sz w:val="24"/>
          <w:szCs w:val="24"/>
        </w:rPr>
        <w:t xml:space="preserve">(11), 13067-13075. </w:t>
      </w:r>
    </w:p>
    <w:p w14:paraId="1D634048" w14:textId="77777777" w:rsidR="001C160C" w:rsidRDefault="001C160C" w:rsidP="001C160C">
      <w:pPr>
        <w:autoSpaceDE w:val="0"/>
        <w:autoSpaceDN w:val="0"/>
        <w:adjustRightInd w:val="0"/>
        <w:spacing w:after="0" w:line="240" w:lineRule="auto"/>
        <w:rPr>
          <w:rFonts w:ascii="Times New Roman" w:hAnsi="Times New Roman" w:cs="Times New Roman"/>
          <w:sz w:val="24"/>
          <w:szCs w:val="24"/>
        </w:rPr>
      </w:pPr>
      <w:r w:rsidRPr="001C160C">
        <w:rPr>
          <w:rFonts w:ascii="Times New Roman" w:hAnsi="Times New Roman" w:cs="Times New Roman"/>
          <w:sz w:val="24"/>
          <w:szCs w:val="24"/>
        </w:rPr>
        <w:t xml:space="preserve">Moralejo, D., Ogunremi, T., &amp; Dunn, K. (2017). Scientific writing: Critical Appraisal Toolkit (CAT) for assessing multiple types of </w:t>
      </w:r>
      <w:r>
        <w:rPr>
          <w:rFonts w:ascii="Times New Roman" w:hAnsi="Times New Roman" w:cs="Times New Roman"/>
          <w:sz w:val="24"/>
          <w:szCs w:val="24"/>
        </w:rPr>
        <w:t xml:space="preserve"> </w:t>
      </w:r>
    </w:p>
    <w:p w14:paraId="7A129907" w14:textId="3EC21BC5" w:rsidR="001C160C" w:rsidRPr="001C160C" w:rsidRDefault="001C160C" w:rsidP="001C16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160C">
        <w:rPr>
          <w:rFonts w:ascii="Times New Roman" w:hAnsi="Times New Roman" w:cs="Times New Roman"/>
          <w:sz w:val="24"/>
          <w:szCs w:val="24"/>
        </w:rPr>
        <w:t>evidence. </w:t>
      </w:r>
      <w:r w:rsidRPr="001C160C">
        <w:rPr>
          <w:rFonts w:ascii="Times New Roman" w:hAnsi="Times New Roman" w:cs="Times New Roman"/>
          <w:i/>
          <w:iCs/>
          <w:sz w:val="24"/>
          <w:szCs w:val="24"/>
        </w:rPr>
        <w:t>Canada Communicable Disease Report, 43</w:t>
      </w:r>
      <w:r w:rsidRPr="001C160C">
        <w:rPr>
          <w:rFonts w:ascii="Times New Roman" w:hAnsi="Times New Roman" w:cs="Times New Roman"/>
          <w:sz w:val="24"/>
          <w:szCs w:val="24"/>
        </w:rPr>
        <w:t>(9), 176</w:t>
      </w:r>
      <w:r w:rsidRPr="001C160C">
        <w:rPr>
          <w:rFonts w:ascii="Times New Roman" w:hAnsi="Times New Roman" w:cs="Times New Roman"/>
          <w:color w:val="222222"/>
          <w:sz w:val="24"/>
          <w:szCs w:val="24"/>
          <w:shd w:val="clear" w:color="auto" w:fill="FFFFFF"/>
        </w:rPr>
        <w:t xml:space="preserve">. </w:t>
      </w:r>
      <w:r w:rsidRPr="001C160C">
        <w:rPr>
          <w:rFonts w:ascii="Times New Roman" w:hAnsi="Times New Roman" w:cs="Times New Roman"/>
          <w:sz w:val="24"/>
          <w:szCs w:val="24"/>
        </w:rPr>
        <w:t>https://doi.org</w:t>
      </w:r>
      <w:r w:rsidR="00D86975">
        <w:rPr>
          <w:rFonts w:ascii="Times New Roman" w:hAnsi="Times New Roman" w:cs="Times New Roman"/>
          <w:sz w:val="24"/>
          <w:szCs w:val="24"/>
        </w:rPr>
        <w:t>/</w:t>
      </w:r>
      <w:r w:rsidRPr="001C160C">
        <w:rPr>
          <w:rFonts w:ascii="Times New Roman" w:hAnsi="Times New Roman" w:cs="Times New Roman"/>
          <w:sz w:val="24"/>
          <w:szCs w:val="24"/>
        </w:rPr>
        <w:t>10.14745/ccdr.v43i09a02</w:t>
      </w:r>
    </w:p>
    <w:p w14:paraId="7851ED89" w14:textId="77777777" w:rsidR="001C160C" w:rsidRPr="001C160C" w:rsidRDefault="001C160C" w:rsidP="001C160C">
      <w:pPr>
        <w:spacing w:after="0" w:line="240" w:lineRule="auto"/>
        <w:rPr>
          <w:rFonts w:ascii="Times New Roman" w:hAnsi="Times New Roman" w:cs="Times New Roman"/>
          <w:sz w:val="24"/>
          <w:szCs w:val="24"/>
        </w:rPr>
      </w:pPr>
    </w:p>
    <w:p w14:paraId="1EEECEDD" w14:textId="77777777" w:rsidR="00341553" w:rsidRDefault="00341553" w:rsidP="003C4E48">
      <w:pPr>
        <w:rPr>
          <w:rFonts w:ascii="Times New Roman" w:hAnsi="Times New Roman" w:cs="Times New Roman"/>
          <w:sz w:val="24"/>
          <w:szCs w:val="24"/>
        </w:rPr>
      </w:pPr>
    </w:p>
    <w:p w14:paraId="55277ED3" w14:textId="77777777" w:rsidR="003C4E48" w:rsidRPr="00825028" w:rsidRDefault="003C4E48" w:rsidP="003C4E48">
      <w:pPr>
        <w:rPr>
          <w:rFonts w:ascii="Times New Roman" w:hAnsi="Times New Roman" w:cs="Times New Roman"/>
          <w:b/>
          <w:bCs/>
          <w:sz w:val="28"/>
          <w:szCs w:val="28"/>
        </w:rPr>
      </w:pPr>
    </w:p>
    <w:sectPr w:rsidR="003C4E48" w:rsidRPr="00825028" w:rsidSect="0082502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FAAF" w14:textId="77777777" w:rsidR="005D694E" w:rsidRDefault="005D694E" w:rsidP="00C32DD1">
      <w:pPr>
        <w:spacing w:after="0" w:line="240" w:lineRule="auto"/>
      </w:pPr>
      <w:r>
        <w:separator/>
      </w:r>
    </w:p>
  </w:endnote>
  <w:endnote w:type="continuationSeparator" w:id="0">
    <w:p w14:paraId="3C894489" w14:textId="77777777" w:rsidR="005D694E" w:rsidRDefault="005D694E" w:rsidP="00C3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Goudy-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3AC" w14:textId="77777777" w:rsidR="00C32DD1" w:rsidRDefault="00C32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4EDD" w14:textId="77777777" w:rsidR="00C32DD1" w:rsidRDefault="00C32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C2E7" w14:textId="77777777" w:rsidR="00C32DD1" w:rsidRDefault="00C3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E25E" w14:textId="77777777" w:rsidR="005D694E" w:rsidRDefault="005D694E" w:rsidP="00C32DD1">
      <w:pPr>
        <w:spacing w:after="0" w:line="240" w:lineRule="auto"/>
      </w:pPr>
      <w:r>
        <w:separator/>
      </w:r>
    </w:p>
  </w:footnote>
  <w:footnote w:type="continuationSeparator" w:id="0">
    <w:p w14:paraId="2F3D24BD" w14:textId="77777777" w:rsidR="005D694E" w:rsidRDefault="005D694E" w:rsidP="00C32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3B21" w14:textId="77777777" w:rsidR="00C32DD1" w:rsidRDefault="00C32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56773"/>
      <w:docPartObj>
        <w:docPartGallery w:val="Watermarks"/>
        <w:docPartUnique/>
      </w:docPartObj>
    </w:sdtPr>
    <w:sdtContent>
      <w:p w14:paraId="4017CBEC" w14:textId="2DF17308" w:rsidR="00C32DD1" w:rsidRDefault="00000000">
        <w:pPr>
          <w:pStyle w:val="Header"/>
        </w:pPr>
        <w:r>
          <w:rPr>
            <w:noProof/>
          </w:rPr>
          <w:pict w14:anchorId="1845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DA4C" w14:textId="77777777" w:rsidR="00C32DD1" w:rsidRDefault="00C32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A68"/>
    <w:multiLevelType w:val="hybridMultilevel"/>
    <w:tmpl w:val="3BE89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69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8A"/>
    <w:rsid w:val="00123145"/>
    <w:rsid w:val="001C160C"/>
    <w:rsid w:val="00243FA7"/>
    <w:rsid w:val="00270B12"/>
    <w:rsid w:val="00315197"/>
    <w:rsid w:val="00341553"/>
    <w:rsid w:val="003C4E48"/>
    <w:rsid w:val="005B6179"/>
    <w:rsid w:val="005D694E"/>
    <w:rsid w:val="006152D8"/>
    <w:rsid w:val="00667BB3"/>
    <w:rsid w:val="006D791E"/>
    <w:rsid w:val="00754885"/>
    <w:rsid w:val="007A6A6C"/>
    <w:rsid w:val="007F068A"/>
    <w:rsid w:val="008073D9"/>
    <w:rsid w:val="00825028"/>
    <w:rsid w:val="008338E8"/>
    <w:rsid w:val="008808F7"/>
    <w:rsid w:val="00894A74"/>
    <w:rsid w:val="0091470B"/>
    <w:rsid w:val="00A21222"/>
    <w:rsid w:val="00A6078B"/>
    <w:rsid w:val="00A90158"/>
    <w:rsid w:val="00AB0338"/>
    <w:rsid w:val="00BF6040"/>
    <w:rsid w:val="00C13516"/>
    <w:rsid w:val="00C32DD1"/>
    <w:rsid w:val="00D80061"/>
    <w:rsid w:val="00D86975"/>
    <w:rsid w:val="00E0773C"/>
    <w:rsid w:val="00E85986"/>
    <w:rsid w:val="00EB5FB5"/>
    <w:rsid w:val="00E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29B0"/>
  <w15:chartTrackingRefBased/>
  <w15:docId w15:val="{9E18A91B-9E83-4810-954E-36B7B681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2502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32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D1"/>
  </w:style>
  <w:style w:type="paragraph" w:styleId="Footer">
    <w:name w:val="footer"/>
    <w:basedOn w:val="Normal"/>
    <w:link w:val="FooterChar"/>
    <w:uiPriority w:val="99"/>
    <w:unhideWhenUsed/>
    <w:rsid w:val="00C3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D1"/>
  </w:style>
  <w:style w:type="paragraph" w:customStyle="1" w:styleId="Default">
    <w:name w:val="Default"/>
    <w:rsid w:val="00D80061"/>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1C160C"/>
    <w:pPr>
      <w:spacing w:after="0" w:line="240" w:lineRule="auto"/>
      <w:ind w:left="720"/>
      <w:contextualSpacing/>
    </w:pPr>
    <w:rPr>
      <w:rFonts w:ascii="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Levin</dc:creator>
  <cp:keywords/>
  <dc:description/>
  <cp:lastModifiedBy>Southern Tier Women's Health Services, LLC</cp:lastModifiedBy>
  <cp:revision>8</cp:revision>
  <dcterms:created xsi:type="dcterms:W3CDTF">2023-11-11T19:24:00Z</dcterms:created>
  <dcterms:modified xsi:type="dcterms:W3CDTF">2023-11-21T19:03:00Z</dcterms:modified>
</cp:coreProperties>
</file>